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5E0D6A">
        <w:rPr>
          <w:b/>
          <w:sz w:val="28"/>
          <w:szCs w:val="28"/>
          <w:lang w:eastAsia="ar-SA"/>
        </w:rPr>
        <w:t>624</w:t>
      </w:r>
      <w:r w:rsidRPr="00437ADA">
        <w:rPr>
          <w:b/>
          <w:sz w:val="28"/>
          <w:szCs w:val="28"/>
          <w:lang w:eastAsia="ar-SA"/>
        </w:rPr>
        <w:t>-2401/202</w:t>
      </w:r>
      <w:r w:rsidR="007E52A8">
        <w:rPr>
          <w:b/>
          <w:sz w:val="28"/>
          <w:szCs w:val="28"/>
          <w:lang w:eastAsia="ar-SA"/>
        </w:rPr>
        <w:t>4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5E0D6A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июня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 w:rsidR="007E52A8">
        <w:rPr>
          <w:rFonts w:eastAsia="MS Mincho"/>
          <w:color w:val="000000" w:themeColor="text1"/>
          <w:sz w:val="28"/>
          <w:szCs w:val="28"/>
        </w:rPr>
        <w:t>4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Гуламова Сулеймана Афсар 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D13479">
        <w:rPr>
          <w:rFonts w:ascii="Times New Roman" w:eastAsia="MS Mincho" w:hAnsi="Times New Roman"/>
          <w:sz w:val="28"/>
          <w:szCs w:val="28"/>
        </w:rPr>
        <w:t>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E0D6A">
        <w:rPr>
          <w:rFonts w:eastAsia="MS Mincho"/>
          <w:sz w:val="28"/>
          <w:szCs w:val="28"/>
        </w:rPr>
        <w:t>Гуламов С.А.о.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D13479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D13479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5E0D6A">
        <w:rPr>
          <w:rFonts w:eastAsia="MS Mincho"/>
          <w:sz w:val="28"/>
          <w:szCs w:val="28"/>
        </w:rPr>
        <w:t>15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D13479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1347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5E0D6A">
        <w:rPr>
          <w:rFonts w:eastAsia="MS Mincho"/>
          <w:sz w:val="28"/>
          <w:szCs w:val="28"/>
        </w:rPr>
        <w:t>4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5E0D6A">
        <w:rPr>
          <w:rFonts w:eastAsia="MS Mincho"/>
          <w:color w:val="000000" w:themeColor="text1"/>
          <w:sz w:val="28"/>
          <w:szCs w:val="28"/>
        </w:rPr>
        <w:t>16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1347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5E0D6A" w:rsidR="005E0D6A">
        <w:rPr>
          <w:rFonts w:eastAsia="MS Mincho"/>
          <w:sz w:val="28"/>
          <w:szCs w:val="28"/>
        </w:rPr>
        <w:t>Гуламов С.А.о.</w:t>
      </w:r>
      <w:r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ходатайств об отложении рассмотрения дела не поступа</w:t>
      </w:r>
      <w:r>
        <w:rPr>
          <w:rFonts w:eastAsia="MS Mincho"/>
          <w:sz w:val="28"/>
          <w:szCs w:val="28"/>
        </w:rPr>
        <w:t>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437ADA">
        <w:rPr>
          <w:rFonts w:eastAsia="MS Mincho"/>
          <w:sz w:val="28"/>
          <w:szCs w:val="28"/>
        </w:rPr>
        <w:t>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5E0D6A" w:rsidR="005E0D6A">
        <w:t xml:space="preserve"> </w:t>
      </w:r>
      <w:r w:rsidRPr="005E0D6A" w:rsidR="005E0D6A">
        <w:rPr>
          <w:rFonts w:eastAsia="MS Mincho"/>
          <w:sz w:val="28"/>
          <w:szCs w:val="28"/>
        </w:rPr>
        <w:t>Гуламов</w:t>
      </w:r>
      <w:r w:rsidR="005E0D6A">
        <w:rPr>
          <w:rFonts w:eastAsia="MS Mincho"/>
          <w:sz w:val="28"/>
          <w:szCs w:val="28"/>
        </w:rPr>
        <w:t>а</w:t>
      </w:r>
      <w:r w:rsidRPr="005E0D6A" w:rsidR="005E0D6A">
        <w:rPr>
          <w:rFonts w:eastAsia="MS Mincho"/>
          <w:sz w:val="28"/>
          <w:szCs w:val="28"/>
        </w:rPr>
        <w:t xml:space="preserve"> С.А.о.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D1347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D1347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</w:t>
      </w:r>
      <w:r w:rsidRPr="004E4BE8">
        <w:rPr>
          <w:rFonts w:eastAsia="MS Mincho"/>
          <w:sz w:val="28"/>
          <w:szCs w:val="28"/>
        </w:rPr>
        <w:t>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D13479">
        <w:rPr>
          <w:rFonts w:eastAsia="MS Mincho"/>
          <w:sz w:val="28"/>
          <w:szCs w:val="28"/>
        </w:rPr>
        <w:t>---</w:t>
      </w:r>
      <w:r w:rsidRPr="005E0D6A" w:rsidR="005E0D6A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4 ст. 12.16 КоАП РФ, вступившим в законную силу </w:t>
      </w:r>
      <w:r w:rsidR="00D13479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5E0D6A" w:rsidR="005E0D6A">
        <w:rPr>
          <w:rFonts w:eastAsia="MS Mincho"/>
          <w:sz w:val="28"/>
          <w:szCs w:val="28"/>
        </w:rPr>
        <w:t xml:space="preserve">Гуламов С.А.о.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E0D6A">
        <w:rPr>
          <w:rFonts w:eastAsia="MS Mincho"/>
          <w:sz w:val="28"/>
          <w:szCs w:val="28"/>
        </w:rPr>
        <w:t>1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5E0D6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ст. инспектора по ИАЗ ОГИБДД ОМВД России по г. </w:t>
      </w:r>
      <w:r w:rsidR="00D1347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которой следует, что Гуламову С.А.о. отсрочка или рассрочка оплаты штрафа не предоставлялась, срок для добровольной оплаты истек </w:t>
      </w:r>
      <w:r w:rsidR="00D13479">
        <w:rPr>
          <w:rFonts w:eastAsia="MS Mincho"/>
          <w:sz w:val="28"/>
          <w:szCs w:val="28"/>
        </w:rPr>
        <w:t>--</w:t>
      </w: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D13479">
        <w:rPr>
          <w:rFonts w:eastAsia="MS Mincho"/>
          <w:sz w:val="28"/>
          <w:szCs w:val="28"/>
        </w:rPr>
        <w:t>----</w:t>
      </w:r>
    </w:p>
    <w:p w:rsidR="005E0D6A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</w:t>
      </w:r>
      <w:r>
        <w:rPr>
          <w:rFonts w:eastAsia="MS Mincho"/>
          <w:sz w:val="28"/>
          <w:szCs w:val="28"/>
        </w:rPr>
        <w:t xml:space="preserve">точкой операций с водительским удостоверением, из которой следует, что Гуламову С.А.о. выдано водительское удостоверение </w:t>
      </w:r>
      <w:r w:rsidR="00D13479">
        <w:rPr>
          <w:rFonts w:eastAsia="MS Mincho"/>
          <w:sz w:val="28"/>
          <w:szCs w:val="28"/>
        </w:rPr>
        <w:t>---</w:t>
      </w:r>
    </w:p>
    <w:p w:rsidR="005E0D6A" w:rsidP="0048692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</w:t>
      </w:r>
      <w:r w:rsidRPr="004E4BE8">
        <w:rPr>
          <w:rFonts w:eastAsia="MS Mincho"/>
          <w:sz w:val="28"/>
          <w:szCs w:val="28"/>
        </w:rPr>
        <w:t xml:space="preserve">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5E0D6A" w:rsidR="005E0D6A">
        <w:rPr>
          <w:rFonts w:eastAsia="MS Mincho"/>
          <w:sz w:val="28"/>
          <w:szCs w:val="28"/>
        </w:rPr>
        <w:t>Гуламов</w:t>
      </w:r>
      <w:r w:rsidR="005E0D6A">
        <w:rPr>
          <w:rFonts w:eastAsia="MS Mincho"/>
          <w:sz w:val="28"/>
          <w:szCs w:val="28"/>
        </w:rPr>
        <w:t>ым</w:t>
      </w:r>
      <w:r w:rsidRPr="005E0D6A" w:rsidR="005E0D6A">
        <w:rPr>
          <w:rFonts w:eastAsia="MS Mincho"/>
          <w:sz w:val="28"/>
          <w:szCs w:val="28"/>
        </w:rPr>
        <w:t xml:space="preserve"> С.А.о.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</w:t>
      </w:r>
      <w:r w:rsidRPr="004E4BE8">
        <w:rPr>
          <w:rFonts w:eastAsia="MS Mincho"/>
          <w:sz w:val="28"/>
          <w:szCs w:val="28"/>
        </w:rPr>
        <w:t xml:space="preserve">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5E0D6A" w:rsidR="005E0D6A">
        <w:t xml:space="preserve"> </w:t>
      </w:r>
      <w:r w:rsidRPr="005E0D6A" w:rsidR="005E0D6A">
        <w:rPr>
          <w:rFonts w:eastAsia="MS Mincho"/>
          <w:sz w:val="28"/>
          <w:szCs w:val="28"/>
        </w:rPr>
        <w:t>Гуламов</w:t>
      </w:r>
      <w:r w:rsidR="005E0D6A">
        <w:rPr>
          <w:rFonts w:eastAsia="MS Mincho"/>
          <w:sz w:val="28"/>
          <w:szCs w:val="28"/>
        </w:rPr>
        <w:t>у</w:t>
      </w:r>
      <w:r w:rsidRPr="005E0D6A" w:rsidR="005E0D6A">
        <w:rPr>
          <w:rFonts w:eastAsia="MS Mincho"/>
          <w:sz w:val="28"/>
          <w:szCs w:val="28"/>
        </w:rPr>
        <w:t xml:space="preserve"> С.А.о</w:t>
      </w:r>
      <w:r w:rsidRPr="008C1C46">
        <w:rPr>
          <w:rFonts w:eastAsia="MS Mincho"/>
          <w:sz w:val="28"/>
          <w:szCs w:val="28"/>
        </w:rPr>
        <w:t>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</w:t>
      </w:r>
      <w:r w:rsidRPr="004E4BE8">
        <w:rPr>
          <w:rFonts w:eastAsia="MS Mincho"/>
          <w:sz w:val="28"/>
          <w:szCs w:val="28"/>
        </w:rPr>
        <w:t>х обстоятельствах, мировой судья находит вину</w:t>
      </w:r>
      <w:r w:rsidRPr="005E0D6A" w:rsidR="005E0D6A">
        <w:t xml:space="preserve"> </w:t>
      </w:r>
      <w:r w:rsidRPr="005E0D6A" w:rsidR="005E0D6A">
        <w:rPr>
          <w:rFonts w:eastAsia="MS Mincho"/>
          <w:sz w:val="28"/>
          <w:szCs w:val="28"/>
        </w:rPr>
        <w:t>Гуламов</w:t>
      </w:r>
      <w:r w:rsidR="005E0D6A">
        <w:rPr>
          <w:rFonts w:eastAsia="MS Mincho"/>
          <w:sz w:val="28"/>
          <w:szCs w:val="28"/>
        </w:rPr>
        <w:t>а</w:t>
      </w:r>
      <w:r w:rsidRPr="005E0D6A" w:rsidR="005E0D6A">
        <w:rPr>
          <w:rFonts w:eastAsia="MS Mincho"/>
          <w:sz w:val="28"/>
          <w:szCs w:val="28"/>
        </w:rPr>
        <w:t xml:space="preserve"> С.А.о. </w:t>
      </w:r>
      <w:r w:rsidRPr="0048692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</w:t>
      </w:r>
      <w:r w:rsidRPr="00DD4EF8">
        <w:rPr>
          <w:rFonts w:eastAsia="MS Mincho"/>
          <w:sz w:val="28"/>
          <w:szCs w:val="28"/>
        </w:rPr>
        <w:t>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 xml:space="preserve">, </w:t>
      </w:r>
      <w:r w:rsidR="005E0D6A">
        <w:rPr>
          <w:rFonts w:eastAsia="MS Mincho"/>
          <w:sz w:val="28"/>
          <w:szCs w:val="28"/>
        </w:rPr>
        <w:t>в день</w:t>
      </w:r>
      <w:r>
        <w:rPr>
          <w:rFonts w:eastAsia="MS Mincho"/>
          <w:sz w:val="28"/>
          <w:szCs w:val="28"/>
        </w:rPr>
        <w:t xml:space="preserve">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</w:t>
      </w:r>
      <w:r w:rsidRPr="00DD4EF8">
        <w:rPr>
          <w:rFonts w:eastAsia="MS Mincho"/>
          <w:sz w:val="28"/>
          <w:szCs w:val="28"/>
        </w:rPr>
        <w:t>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</w:t>
      </w:r>
      <w:r w:rsidRPr="00DD4EF8">
        <w:rPr>
          <w:rFonts w:eastAsia="MS Mincho"/>
          <w:sz w:val="28"/>
          <w:szCs w:val="28"/>
        </w:rPr>
        <w:t xml:space="preserve">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</w:t>
      </w:r>
      <w:r w:rsidRPr="00DD4EF8">
        <w:rPr>
          <w:rFonts w:eastAsia="MS Mincho"/>
          <w:sz w:val="28"/>
          <w:szCs w:val="28"/>
        </w:rPr>
        <w:t xml:space="preserve">нормы закона за совершение </w:t>
      </w:r>
      <w:r w:rsidRPr="00DD4EF8">
        <w:rPr>
          <w:rFonts w:eastAsia="MS Mincho"/>
          <w:sz w:val="28"/>
          <w:szCs w:val="28"/>
        </w:rPr>
        <w:t>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</w:t>
      </w:r>
      <w:r w:rsidRPr="00DD4EF8">
        <w:rPr>
          <w:rFonts w:eastAsia="MS Mincho"/>
          <w:sz w:val="28"/>
          <w:szCs w:val="28"/>
        </w:rPr>
        <w:t>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</w:t>
      </w:r>
      <w:r w:rsidRPr="00DD4EF8">
        <w:rPr>
          <w:rFonts w:eastAsia="MS Mincho"/>
          <w:sz w:val="28"/>
          <w:szCs w:val="28"/>
        </w:rPr>
        <w:t>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</w:t>
      </w:r>
      <w:r w:rsidRPr="00DD4EF8">
        <w:rPr>
          <w:rFonts w:eastAsia="MS Mincho"/>
          <w:sz w:val="28"/>
          <w:szCs w:val="28"/>
        </w:rPr>
        <w:t>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</w:t>
      </w:r>
      <w:r w:rsidRPr="00DD4EF8">
        <w:rPr>
          <w:rFonts w:eastAsia="MS Mincho"/>
          <w:sz w:val="28"/>
          <w:szCs w:val="28"/>
        </w:rPr>
        <w:t>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</w:t>
      </w:r>
      <w:r w:rsidRPr="00DD4EF8">
        <w:rPr>
          <w:rFonts w:eastAsia="MS Mincho"/>
          <w:sz w:val="28"/>
          <w:szCs w:val="28"/>
        </w:rP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 w:rsidRPr="00DD4EF8">
        <w:rPr>
          <w:rFonts w:eastAsia="MS Mincho"/>
          <w:sz w:val="28"/>
          <w:szCs w:val="28"/>
        </w:rPr>
        <w:t>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D13479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</w:t>
      </w:r>
      <w:r w:rsidRPr="00DD4EF8">
        <w:rPr>
          <w:rFonts w:eastAsia="MS Mincho"/>
          <w:sz w:val="28"/>
          <w:szCs w:val="28"/>
        </w:rPr>
        <w:t>о том, что совершенное</w:t>
      </w:r>
      <w:r w:rsidRPr="000B6626" w:rsidR="000B6626">
        <w:t xml:space="preserve"> </w:t>
      </w:r>
      <w:r w:rsidRPr="000B6626" w:rsidR="000B6626">
        <w:rPr>
          <w:rFonts w:eastAsia="MS Mincho"/>
          <w:sz w:val="28"/>
          <w:szCs w:val="28"/>
        </w:rPr>
        <w:t>Гуламов</w:t>
      </w:r>
      <w:r w:rsidR="000B6626">
        <w:rPr>
          <w:rFonts w:eastAsia="MS Mincho"/>
          <w:sz w:val="28"/>
          <w:szCs w:val="28"/>
        </w:rPr>
        <w:t>ым</w:t>
      </w:r>
      <w:r w:rsidRPr="000B6626" w:rsidR="000B6626">
        <w:rPr>
          <w:rFonts w:eastAsia="MS Mincho"/>
          <w:sz w:val="28"/>
          <w:szCs w:val="28"/>
        </w:rPr>
        <w:t xml:space="preserve"> С.А.о</w:t>
      </w:r>
      <w:r w:rsidRPr="0048692D">
        <w:rPr>
          <w:rFonts w:eastAsia="MS Mincho"/>
          <w:sz w:val="28"/>
          <w:szCs w:val="28"/>
        </w:rPr>
        <w:t xml:space="preserve">.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</w:t>
      </w:r>
      <w:r w:rsidRPr="00DD4EF8">
        <w:rPr>
          <w:rFonts w:eastAsia="MS Mincho"/>
          <w:sz w:val="28"/>
          <w:szCs w:val="28"/>
        </w:rPr>
        <w:t>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</w:t>
      </w:r>
      <w:r w:rsidRPr="00DD4EF8">
        <w:rPr>
          <w:rFonts w:eastAsia="MS Mincho"/>
          <w:sz w:val="28"/>
          <w:szCs w:val="28"/>
        </w:rPr>
        <w:t>9 Кодекса РФ об административных правонарушениях, мировой судья</w:t>
      </w:r>
    </w:p>
    <w:p w:rsidR="0048692D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020319">
        <w:t xml:space="preserve"> </w:t>
      </w:r>
      <w:r w:rsidRPr="000B6626" w:rsidR="000B6626">
        <w:rPr>
          <w:rFonts w:eastAsia="MS Mincho"/>
          <w:sz w:val="28"/>
          <w:szCs w:val="28"/>
        </w:rPr>
        <w:t>Гуламова Сулеймана Афсар оглы</w:t>
      </w:r>
      <w:r w:rsidRPr="000479E2">
        <w:rPr>
          <w:rFonts w:eastAsia="MS Mincho"/>
          <w:sz w:val="28"/>
          <w:szCs w:val="28"/>
        </w:rPr>
        <w:t>,</w:t>
      </w:r>
      <w:r w:rsidRP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</w:t>
      </w:r>
      <w:r w:rsidRPr="00B51702">
        <w:rPr>
          <w:rFonts w:eastAsia="MS Mincho"/>
          <w:sz w:val="28"/>
          <w:szCs w:val="28"/>
        </w:rPr>
        <w:t xml:space="preserve">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D13479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RPr="000A0A0E" w:rsidP="0048692D">
      <w:pPr>
        <w:ind w:firstLine="708"/>
        <w:jc w:val="both"/>
        <w:rPr>
          <w:rFonts w:eastAsia="MS Mincho"/>
          <w:sz w:val="27"/>
          <w:szCs w:val="27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479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E52A8">
      <w:t>24</w:t>
    </w:r>
    <w:r w:rsidR="005D46B5">
      <w:t>-01-202</w:t>
    </w:r>
    <w:r w:rsidR="00A30FCE">
      <w:t>4</w:t>
    </w:r>
    <w:r w:rsidR="005D46B5">
      <w:t>-00</w:t>
    </w:r>
    <w:r w:rsidR="0048692D">
      <w:t>3</w:t>
    </w:r>
    <w:r w:rsidR="005E0D6A">
      <w:t>9</w:t>
    </w:r>
    <w:r w:rsidR="0039590A">
      <w:t>7</w:t>
    </w:r>
    <w:r w:rsidR="005E0D6A">
      <w:t>1</w:t>
    </w:r>
    <w:r w:rsidR="005D46B5">
      <w:t>-</w:t>
    </w:r>
    <w:r w:rsidR="005E0D6A">
      <w:t>98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479E2"/>
    <w:rsid w:val="00050ABE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B6626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590A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57B72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0D6A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1C46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479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0497-59C8-484C-B446-39223CA2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